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17365D"/>
          <w:sz w:val="38"/>
        </w:rPr>
        <w:t>A Philosophy of Institutional Clinical Informatics</w:t>
      </w:r>
    </w:p>
    <w:p>
      <w:pPr>
        <w:spacing w:after="120"/>
        <w:jc w:val="center"/>
      </w:pPr>
      <w:r>
        <w:rPr>
          <w:color w:val="5A6470"/>
          <w:sz w:val="18"/>
        </w:rPr>
        <w:t>Justin Halls, MD  |  Personal Professional Philosophy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EF3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 xml:space="preserve">CORE THESIS  </w:t>
            </w:r>
            <w:r>
              <w:rPr>
                <w:sz w:val="19"/>
              </w:rPr>
              <w:t>Healthcare technology requires three complementary forms of intelligence: technical expertise, clinical-informatics expertise, and distributed clinical-domain expertise. Governance is the mechanism that brings them together at the right level of decision-making.</w:t>
            </w:r>
          </w:p>
        </w:tc>
      </w:tr>
    </w:tbl>
    <w:p>
      <w:pPr>
        <w:spacing w:before="100" w:after="40"/>
      </w:pPr>
      <w:r>
        <w:rPr>
          <w:b/>
          <w:color w:val="17365D"/>
          <w:sz w:val="22"/>
        </w:rPr>
        <w:t>The model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IT: </w:t>
      </w:r>
      <w:r>
        <w:t>Owns the technical enterprise - infrastructure, applications, architecture, cybersecurity, integration, reliability, technical standards, implementation capacity, and sustainable operations.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Clinical informatics: </w:t>
      </w:r>
      <w:r>
        <w:t>Owns the clinical use of information and technology - workflow, usability, decision support, implementation, evaluation, and the clinical consequences of digital design.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Clinical domains: </w:t>
      </w:r>
      <w:r>
        <w:t>Supply the subject-matter expertise that no central team can possess across every specialty, profession, and workflow.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Hub and spokes: </w:t>
      </w:r>
      <w:r>
        <w:t>A central informatics hub provides enterprise strategy, standards, coordination, prioritization, and stewardship; distributed domain informatics leaders connect that hub to frontline clinical expertise. Information and accountability flow in both directions.</w:t>
      </w:r>
    </w:p>
    <w:p>
      <w:pPr>
        <w:spacing w:before="100" w:after="40"/>
      </w:pPr>
      <w:r>
        <w:rPr>
          <w:b/>
          <w:color w:val="17365D"/>
          <w:sz w:val="22"/>
        </w:rPr>
        <w:t>Governance as an operating system</w:t>
      </w:r>
    </w:p>
    <w:p>
      <w:pPr>
        <w:spacing w:after="60"/>
      </w:pPr>
      <w:r>
        <w:t>Good governance creates a predictable path from clinical need to institutional action: identify the issue, bring the right expertise together, establish decision rights, prioritize the work, implement deliberately, and measure what happened. It also surfaces rather than suppresses disagreement. A friction point that cannot be resolved should still receive a credible hearing, an accountable disposition, and a transparent explanation of the constraint.</w:t>
      </w:r>
    </w:p>
    <w:p>
      <w:pPr>
        <w:spacing w:before="100" w:after="40"/>
      </w:pPr>
      <w:r>
        <w:rPr>
          <w:b/>
          <w:color w:val="17365D"/>
          <w:sz w:val="22"/>
        </w:rPr>
        <w:t>Five aims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Increase signal while reducing noise. </w:t>
      </w:r>
      <w:r>
        <w:t>Expand useful and sophisticated CDS while decreasing unnecessary clinician-facing interruption through better targeting, context, workflow integration, and lifecycle management.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Surface and navigate friction. </w:t>
      </w:r>
      <w:r>
        <w:t>Systematically identify clinical-technology problems and conflicts, route them to the right level, and provide accountable resolution or explanation.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Shorten the distance from clinical need to institutional action. </w:t>
      </w:r>
      <w:r>
        <w:t>Make it easier for legitimate frontline needs to reach people with the expertise and authority to evaluate and act on them.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Measure after implementation. </w:t>
      </w:r>
      <w:r>
        <w:t>Treat deployment as the beginning of evaluation: measure adoption, workflow effects, intended outcomes, unintended consequences, and continuing value.</w:t>
      </w:r>
    </w:p>
    <w:p>
      <w:pPr>
        <w:pStyle w:val="ListBullet"/>
        <w:spacing w:after="32"/>
        <w:ind w:left="259" w:hanging="173"/>
      </w:pPr>
      <w:r>
        <w:rPr>
          <w:b/>
        </w:rPr>
        <w:t xml:space="preserve">Measure value, not merely activity. </w:t>
      </w:r>
      <w:r>
        <w:t>Tickets closed, builds completed, and alerts created measure work. Informatics should increasingly measure what that work accomplished for patients, clinicians, safety, quality, operations, and organizational capability.</w:t>
      </w:r>
    </w:p>
    <w:p>
      <w:pPr>
        <w:spacing w:before="100" w:after="40"/>
      </w:pPr>
      <w:r>
        <w:rPr>
          <w:b/>
          <w:color w:val="17365D"/>
          <w:sz w:val="22"/>
        </w:rPr>
        <w:t>The destination</w:t>
      </w:r>
    </w:p>
    <w:p>
      <w:pPr>
        <w:spacing w:after="80"/>
      </w:pPr>
      <w:r>
        <w:t>The desired institution has a strong technical core, a strong clinical-informatics function, and meaningful distributed clinical expertise. Authority is clear, but expertise can travel. Local problems can reach enterprise leadership; enterprise standards can reach local practice. The mature endpoint is a learning health system in which clinical experience, data, evidence, technology, and governance form a continuous improvement loop.</w:t>
      </w:r>
    </w:p>
    <w:p>
      <w:pPr>
        <w:spacing w:before="40" w:after="0"/>
      </w:pPr>
      <w:r>
        <w:rPr>
          <w:b/>
          <w:color w:val="17365D"/>
          <w:sz w:val="15"/>
        </w:rPr>
        <w:t xml:space="preserve">FOUNDATIONS  </w:t>
      </w:r>
      <w:r>
        <w:rPr>
          <w:color w:val="555555"/>
          <w:sz w:val="15"/>
        </w:rPr>
        <w:t>Sittig &amp; Singh sociotechnical model • AMIA Clinical Informatics Core Content and CCIO Task Force • CDS Five Rights • McCoy et al., University of Utah CDS governance case study • ONC SAFER Guides • National Academy of Medicine Learning Health System</w:t>
      </w:r>
    </w:p>
    <w:sectPr w:rsidR="00FC693F" w:rsidRPr="0006063C" w:rsidSect="00034616">
      <w:footerReference w:type="default" r:id="rId9"/>
      <w:pgSz w:w="12240" w:h="15840"/>
      <w:pgMar w:top="691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D7D7D"/>
        <w:sz w:val="15"/>
      </w:rPr>
      <w:t>Clinical Informatics Philosophy • One-Page Summary •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Philosophy of Institutional Clinical Informatics - One-Page Summary</dc:title>
  <dc:subject/>
  <dc:creator>Justin Halls, MD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